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4C" w:rsidRPr="006B7871" w:rsidRDefault="006B7871" w:rsidP="006B7871">
      <w:pPr>
        <w:pStyle w:val="3"/>
        <w:shd w:val="clear" w:color="auto" w:fill="DAEEF3" w:themeFill="accent5" w:themeFillTint="33"/>
        <w:spacing w:before="0" w:line="240" w:lineRule="auto"/>
        <w:jc w:val="center"/>
        <w:rPr>
          <w:rFonts w:asciiTheme="minorHAnsi" w:eastAsia="Arial Unicode MS" w:hAnsiTheme="minorHAnsi" w:cstheme="minorHAnsi"/>
          <w:color w:val="0070C0"/>
          <w:sz w:val="36"/>
          <w:szCs w:val="36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color w:val="0070C0"/>
          <w:sz w:val="36"/>
          <w:szCs w:val="36"/>
          <w:u w:val="single" w:color="EEECE1" w:themeColor="background2"/>
          <w:lang w:eastAsia="ru-RU"/>
        </w:rPr>
        <w:t>КОНСУЛЬТАЦИИ ДЛЯ ВОСПИТАТЕЛЕЙ</w:t>
      </w:r>
    </w:p>
    <w:p w:rsidR="0036694C" w:rsidRPr="006B7871" w:rsidRDefault="006B7871" w:rsidP="006B7871">
      <w:pPr>
        <w:pStyle w:val="3"/>
        <w:shd w:val="clear" w:color="auto" w:fill="DAEEF3" w:themeFill="accent5" w:themeFillTint="33"/>
        <w:spacing w:before="0" w:line="240" w:lineRule="auto"/>
        <w:jc w:val="center"/>
        <w:rPr>
          <w:rFonts w:asciiTheme="minorHAnsi" w:eastAsia="Arial Unicode MS" w:hAnsiTheme="minorHAnsi" w:cstheme="minorHAnsi"/>
          <w:color w:val="FF0000"/>
          <w:kern w:val="36"/>
          <w:sz w:val="36"/>
          <w:szCs w:val="36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color w:val="FF0000"/>
          <w:kern w:val="36"/>
          <w:sz w:val="36"/>
          <w:szCs w:val="36"/>
          <w:u w:val="single" w:color="EEECE1" w:themeColor="background2"/>
          <w:lang w:eastAsia="ru-RU"/>
        </w:rPr>
        <w:t>СОВРЕМЕННЫЕ ОБРАЗОВАТЕЛЬНЫЕ ТЕХНОЛОГИИ В ДОУ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В. Ф. Одоевский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В настоящее время педагогические коллективы ДОУ интенсивно внедряют в работу инновационные технологии. Поэтому основная задача  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 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ь-</w:t>
      </w:r>
      <w:proofErr w:type="gram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 содействовать становлению ребенка как личности.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 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Технология – это совокупность приемов, применяемых в каком-либо деле, мастерстве, искусстве (толковый словарь).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Педагогическая технология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Б.Т.Лихачёв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).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Сегодня насчитывается больше сотни  образовательных технологий.  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  Основные требования (критерии) педагогической технологии: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Концептуальность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Системность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Управляемость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Эффективность</w:t>
      </w:r>
    </w:p>
    <w:p w:rsidR="00FB3DB2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Воспроизводимость</w:t>
      </w:r>
      <w:bookmarkStart w:id="0" w:name="_GoBack"/>
      <w:bookmarkEnd w:id="0"/>
      <w:proofErr w:type="spellEnd"/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lastRenderedPageBreak/>
        <w:t>Концептуальность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    Системность – технология должна обладать всеми признаками системы: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 - логикой процесса,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 - взаимосвязью его частей,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 - целостностью.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    Управляемость – 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    Эффективность –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 xml:space="preserve">    </w:t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Воспроизводимость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 – 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Структура образовательной технологии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    Структура образовательной технологии состоит из трех частей: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Концептуальная часть – это научная база технологии, т.е. психолого-педагогические идеи, которые заложены в ее фундамент.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Содержательная часть – это общие, конкретные цели и содержание учебного материала.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    Таким образом, очевидно: если некая система претендует на роль технологии, она должна соответствовать всем перечисленным выше требованиям.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>К числу современных образовательных технологий можно отнести: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здоровьесберегающие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 технологии;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технологии проектной деятельности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технология исследовательской деятельности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 информационно-коммуникационные технологии;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личностно-ориентированные технологии;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технология портфолио дошкольника и воспитателя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игровая технология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технология «ТРИЗ» и др. </w:t>
      </w:r>
    </w:p>
    <w:p w:rsidR="0036694C" w:rsidRPr="00FB3DB2" w:rsidRDefault="00FB3DB2" w:rsidP="00FB3DB2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color w:val="FF0000"/>
          <w:sz w:val="24"/>
          <w:szCs w:val="24"/>
          <w:u w:val="single" w:color="EEECE1" w:themeColor="background2"/>
          <w:lang w:eastAsia="ru-RU"/>
        </w:rPr>
      </w:pPr>
      <w:r w:rsidRPr="00FB3DB2">
        <w:rPr>
          <w:rFonts w:asciiTheme="minorHAnsi" w:eastAsia="Arial Unicode MS" w:hAnsiTheme="minorHAnsi" w:cstheme="minorHAnsi"/>
          <w:color w:val="FF0000"/>
          <w:sz w:val="24"/>
          <w:szCs w:val="24"/>
          <w:u w:val="single" w:color="EEECE1" w:themeColor="background2"/>
          <w:lang w:eastAsia="ru-RU"/>
        </w:rPr>
        <w:t>1.</w:t>
      </w:r>
      <w:r w:rsidR="0036694C" w:rsidRPr="00FB3DB2">
        <w:rPr>
          <w:rFonts w:asciiTheme="minorHAnsi" w:eastAsia="Arial Unicode MS" w:hAnsiTheme="minorHAnsi" w:cstheme="minorHAnsi"/>
          <w:color w:val="FF0000"/>
          <w:sz w:val="24"/>
          <w:szCs w:val="24"/>
          <w:u w:val="single" w:color="EEECE1" w:themeColor="background2"/>
          <w:lang w:eastAsia="ru-RU"/>
        </w:rPr>
        <w:t>Здоровьесберегающие  технологии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Целью </w:t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здоровьесберегающих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 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Здоровьесберегающие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 </w:t>
      </w: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br/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здоровьесберегающих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 педагогических технологий зависит: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от типа дошкольного учреждения,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от продолжительности пребывания в нем детей,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lastRenderedPageBreak/>
        <w:t> от программы, по которой работают педагоги,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 конкретных условий ДОУ,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 профессиональной компетентности педагога,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показателей здоровья детей.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здоровьесберегающих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 технологий: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proofErr w:type="gram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медико-профилактические 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профилактических мероприятий, </w:t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здоровьесберегающей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 среды в ДОУ);</w:t>
      </w:r>
      <w:proofErr w:type="gramEnd"/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 физкультурно-оздоровительные 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proofErr w:type="gram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обеспечения социально-психологического благополучия ребенка 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  <w:proofErr w:type="gramEnd"/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 </w:t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здоровьесбережения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 и </w:t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здоровьеобогащения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 педагогов 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образовательные (воспитания культуры здоровья дошкольников, личностно-ориентированного воспитания и обучения);</w:t>
      </w:r>
    </w:p>
    <w:p w:rsidR="0036694C" w:rsidRPr="006B7871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 обучения здоровому образу жизни 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игротренинги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, </w:t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игротерапия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), самомассаж); коррекционные (арт-терапия, технология музыкального воздействия, </w:t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сказкотерапия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, </w:t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психогимнастики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 и др.)</w:t>
      </w:r>
    </w:p>
    <w:p w:rsidR="0036694C" w:rsidRDefault="0036694C" w:rsidP="006B7871">
      <w:pPr>
        <w:pStyle w:val="3"/>
        <w:shd w:val="clear" w:color="auto" w:fill="DAEEF3" w:themeFill="accent5" w:themeFillTint="33"/>
        <w:spacing w:before="0" w:line="240" w:lineRule="auto"/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</w:pPr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К числу </w:t>
      </w:r>
      <w:proofErr w:type="spellStart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>здоровьесберегающих</w:t>
      </w:r>
      <w:proofErr w:type="spellEnd"/>
      <w:r w:rsidRPr="006B7871">
        <w:rPr>
          <w:rFonts w:asciiTheme="minorHAnsi" w:eastAsia="Arial Unicode MS" w:hAnsiTheme="minorHAnsi" w:cstheme="minorHAnsi"/>
          <w:b w:val="0"/>
          <w:color w:val="000000"/>
          <w:sz w:val="24"/>
          <w:szCs w:val="24"/>
          <w:u w:val="single" w:color="EEECE1" w:themeColor="background2"/>
          <w:lang w:eastAsia="ru-RU"/>
        </w:rPr>
        <w:t xml:space="preserve"> педагогических технологий следует отнести и педагогическую технологию активной сенсорно-развивающей среды, 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6B7871" w:rsidRDefault="006B7871" w:rsidP="006B7871">
      <w:pPr>
        <w:rPr>
          <w:lang w:eastAsia="ru-RU"/>
        </w:rPr>
      </w:pP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2. Технологии проектной деятельности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Классификация учебных проектов: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«игровые» — детские занятия, участие в групповой деятельности (игры, народные танцы, драматизации, разного рода развлечения);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«экскурсионные», направленные на изучение проблем, связанных с окружающей природой и общественной жизнью;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 xml:space="preserve"> </w:t>
      </w:r>
      <w:proofErr w:type="gramStart"/>
      <w:r>
        <w:rPr>
          <w:lang w:eastAsia="ru-RU"/>
        </w:rPr>
        <w:t>«повествовательные», 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lastRenderedPageBreak/>
        <w:t xml:space="preserve"> «конструктивные», нацеленные на создание конкретного полезного продукта: сколачивание скворечника, устройство клумб.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Типы проектов: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 xml:space="preserve">по доминирующему методу: 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исследовательские,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информационные,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творческие,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игровые,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приключенческие,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практико-ориентированные.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 xml:space="preserve">по характеру содержания: 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включают ребенка и его семью,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ребенка и природу,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ребенка и рукотворный мир,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ребенка, общество и его культурные ценности.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 xml:space="preserve">по характеру участия ребенка в проекте: 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заказчик,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эксперт,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исполнитель,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участник от зарождения идеи до получения результата.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 xml:space="preserve">по характеру контактов: 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осуществляется внутри одной возрастной группы,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в контакте с другой возрастной группой,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внутри ДОУ,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в контакте с семьей,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учреждениями культуры,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общественными организациями (открытый проект).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 xml:space="preserve">по количеству участников: 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индивидуальный,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парный,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групповой,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фронтальный.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 xml:space="preserve">по продолжительности: 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краткосрочный,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>средней продолжительности,</w:t>
      </w:r>
    </w:p>
    <w:p w:rsidR="006B7871" w:rsidRDefault="006B7871" w:rsidP="006B7871">
      <w:pPr>
        <w:shd w:val="clear" w:color="auto" w:fill="FBD4B4" w:themeFill="accent6" w:themeFillTint="66"/>
        <w:spacing w:after="0"/>
        <w:rPr>
          <w:lang w:eastAsia="ru-RU"/>
        </w:rPr>
      </w:pPr>
      <w:r>
        <w:rPr>
          <w:lang w:eastAsia="ru-RU"/>
        </w:rPr>
        <w:t xml:space="preserve"> долгосрочный.</w:t>
      </w:r>
    </w:p>
    <w:p w:rsidR="006B7871" w:rsidRDefault="006B7871" w:rsidP="006B7871">
      <w:pPr>
        <w:rPr>
          <w:lang w:eastAsia="ru-RU"/>
        </w:rPr>
      </w:pP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3. Технология исследовательской деятельности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  задача, которую можно решить, что-то исследуя или проводя эксперименты.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Методы и приемы организации экспериментально – исследовательской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 xml:space="preserve"> деятельности: 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- эвристические беседы;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- постановка и решение вопросов проблемного характера;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- наблюдения;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lastRenderedPageBreak/>
        <w:t>- моделирование (создание моделей об изменениях в неживой природе);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- опыты;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- фиксация результатов: наблюдений, опытов, экспериментов,  трудовой деятельности;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- «погружение» в краски, звуки, запахи и образы природы;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- подражание голосам и звукам природы;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- использование художественного слова;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 xml:space="preserve">- дидактические игры, игровые обучающие и творчески развивающие 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ситуации;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- трудовые поручения, действия.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Содержание познавательно-исследовательской деятельности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Опыты (экспериментирование)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Состояние и превращение вещества.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 xml:space="preserve">Движение   воздуха, воды. 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Свойства почвы и минералов.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Условия жизни растений.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 xml:space="preserve">Коллекционирование (классификационная работа) 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Виды растений.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Виды животных.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Виды строительных сооружений.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Виды транспорта.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Виды профессий.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Путешествие по карте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Стороны света.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 xml:space="preserve"> Рельефы местности.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 xml:space="preserve">Природные    ландшафты и их обитатели. 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Части света, их природные и культурные «метки» - символы.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>Путешествие по «реке времени»</w:t>
      </w:r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proofErr w:type="gramStart"/>
      <w:r>
        <w:rPr>
          <w:lang w:eastAsia="ru-RU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  <w:proofErr w:type="gramEnd"/>
    </w:p>
    <w:p w:rsidR="006B7871" w:rsidRDefault="006B7871" w:rsidP="006B7871">
      <w:pPr>
        <w:shd w:val="clear" w:color="auto" w:fill="F2DBDB" w:themeFill="accent2" w:themeFillTint="33"/>
        <w:spacing w:after="0"/>
        <w:rPr>
          <w:lang w:eastAsia="ru-RU"/>
        </w:rPr>
      </w:pPr>
      <w:r>
        <w:rPr>
          <w:lang w:eastAsia="ru-RU"/>
        </w:rPr>
        <w:t xml:space="preserve"> История    жилища и благоустройства.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4.  Информационно-коммуникационные технологии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Информатизация общества ставит перед педагогами-дошкольниками  задачи: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идти в ногу со временем,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стать для ребенка проводником  в мир новых технологий,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 xml:space="preserve">наставником в выборе  компьютерных программ,  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сформировать основы информационной культуры его личности,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 xml:space="preserve">повысить профессиональный уровень педагогов и компетентность родителей.        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Решение этих задач  не возможно без актуализации и пересмотра всех направлений работы детского сада в контексте информатизации.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 xml:space="preserve"> Требования к компьютерным программам ДОУ: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Исследовательский характер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Легкость для самостоятельных занятий детей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Развитие широкого спектра навыков и представлений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Возрастное соответствие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Занимательность.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Классификация программ: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lastRenderedPageBreak/>
        <w:t>Развитие воображения, мышления, памяти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Говорящие словари иностранных языков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Простейшие графические редакторы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Игры-путешествия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Обучение чтению, математике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Использование мультимедийных презентаций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 xml:space="preserve"> Преимущества компьютера: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несет в себе образный тип информации, понятный дошкольникам;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движения, звук, мультипликация надолго привлекает внимание ребенка;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обладает стимулом познавательной активности детей;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предоставляет возможность индивидуализации обучения;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Ошибки при использовании информационно-коммуникационных технологий: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Недостаточная методическая подготовленность педагога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Неправильное определение дидактической роли и места ИКТ на занятиях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Бесплановость, случайность применения ИКТ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Перегруженность занятия демонстрацией.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 xml:space="preserve"> ИКТ в работе современного педагога: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6B7871" w:rsidRDefault="006B7871" w:rsidP="006B7871">
      <w:pPr>
        <w:shd w:val="clear" w:color="auto" w:fill="DAEEF3" w:themeFill="accent5" w:themeFillTint="33"/>
        <w:spacing w:after="0"/>
        <w:rPr>
          <w:lang w:eastAsia="ru-RU"/>
        </w:rPr>
      </w:pPr>
      <w:r>
        <w:rPr>
          <w:lang w:eastAsia="ru-RU"/>
        </w:rPr>
        <w:t xml:space="preserve">5. Создание презентаций в программе </w:t>
      </w:r>
      <w:proofErr w:type="spellStart"/>
      <w:proofErr w:type="gramStart"/>
      <w:r>
        <w:rPr>
          <w:lang w:eastAsia="ru-RU"/>
        </w:rPr>
        <w:t>Р</w:t>
      </w:r>
      <w:proofErr w:type="gramEnd"/>
      <w:r>
        <w:rPr>
          <w:lang w:eastAsia="ru-RU"/>
        </w:rPr>
        <w:t>ower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Рoint</w:t>
      </w:r>
      <w:proofErr w:type="spellEnd"/>
      <w:r>
        <w:rPr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>5.</w:t>
      </w:r>
      <w:r>
        <w:rPr>
          <w:lang w:eastAsia="ru-RU"/>
        </w:rPr>
        <w:t>Личностно - ориентированная технология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 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lastRenderedPageBreak/>
        <w:t>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>Данную технологию хорошо реализовать в новых дошкольных учреждениях (например: д/с N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>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 xml:space="preserve">Педагогические технологии на основе </w:t>
      </w:r>
      <w:proofErr w:type="spellStart"/>
      <w:r>
        <w:rPr>
          <w:lang w:eastAsia="ru-RU"/>
        </w:rPr>
        <w:t>гуманизации</w:t>
      </w:r>
      <w:proofErr w:type="spellEnd"/>
      <w:r>
        <w:rPr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 xml:space="preserve"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>подготовка методических пособий (</w:t>
      </w:r>
      <w:proofErr w:type="gramStart"/>
      <w:r>
        <w:rPr>
          <w:lang w:eastAsia="ru-RU"/>
        </w:rPr>
        <w:t>демонстрационный</w:t>
      </w:r>
      <w:proofErr w:type="gramEnd"/>
      <w:r>
        <w:rPr>
          <w:lang w:eastAsia="ru-RU"/>
        </w:rPr>
        <w:t xml:space="preserve"> и раздаточный) в соответствии с учебными целями и задачами;</w:t>
      </w:r>
    </w:p>
    <w:p w:rsid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6B7871" w:rsidRPr="006B7871" w:rsidRDefault="006B7871" w:rsidP="006B7871">
      <w:pPr>
        <w:shd w:val="clear" w:color="auto" w:fill="FDE9D9" w:themeFill="accent6" w:themeFillTint="33"/>
        <w:spacing w:after="0"/>
        <w:rPr>
          <w:lang w:eastAsia="ru-RU"/>
        </w:rPr>
      </w:pPr>
      <w:r>
        <w:rPr>
          <w:lang w:eastAsia="ru-RU"/>
        </w:rPr>
        <w:t>заключительная оценка результата - уровень развития дошкольника.</w:t>
      </w:r>
    </w:p>
    <w:sectPr w:rsidR="006B7871" w:rsidRPr="006B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A0" w:rsidRDefault="00FE3DA0" w:rsidP="006B7871">
      <w:pPr>
        <w:spacing w:after="0" w:line="240" w:lineRule="auto"/>
      </w:pPr>
      <w:r>
        <w:separator/>
      </w:r>
    </w:p>
  </w:endnote>
  <w:endnote w:type="continuationSeparator" w:id="0">
    <w:p w:rsidR="00FE3DA0" w:rsidRDefault="00FE3DA0" w:rsidP="006B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A0" w:rsidRDefault="00FE3DA0" w:rsidP="006B7871">
      <w:pPr>
        <w:spacing w:after="0" w:line="240" w:lineRule="auto"/>
      </w:pPr>
      <w:r>
        <w:separator/>
      </w:r>
    </w:p>
  </w:footnote>
  <w:footnote w:type="continuationSeparator" w:id="0">
    <w:p w:rsidR="00FE3DA0" w:rsidRDefault="00FE3DA0" w:rsidP="006B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F9B"/>
    <w:multiLevelType w:val="multilevel"/>
    <w:tmpl w:val="A8369A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B5028"/>
    <w:multiLevelType w:val="multilevel"/>
    <w:tmpl w:val="87D4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F5C40"/>
    <w:multiLevelType w:val="multilevel"/>
    <w:tmpl w:val="C04A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7717E"/>
    <w:multiLevelType w:val="multilevel"/>
    <w:tmpl w:val="6EFA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85ACA"/>
    <w:multiLevelType w:val="multilevel"/>
    <w:tmpl w:val="96B4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D0E4B"/>
    <w:multiLevelType w:val="multilevel"/>
    <w:tmpl w:val="25A81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46197"/>
    <w:multiLevelType w:val="multilevel"/>
    <w:tmpl w:val="6354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B5748"/>
    <w:multiLevelType w:val="multilevel"/>
    <w:tmpl w:val="48B6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975E1"/>
    <w:multiLevelType w:val="multilevel"/>
    <w:tmpl w:val="36329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14D4E"/>
    <w:multiLevelType w:val="multilevel"/>
    <w:tmpl w:val="F006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37CAE"/>
    <w:multiLevelType w:val="multilevel"/>
    <w:tmpl w:val="0810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D0497"/>
    <w:multiLevelType w:val="multilevel"/>
    <w:tmpl w:val="A4E20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24139"/>
    <w:multiLevelType w:val="multilevel"/>
    <w:tmpl w:val="E0B04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66579"/>
    <w:multiLevelType w:val="multilevel"/>
    <w:tmpl w:val="1FDEE9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66AE2"/>
    <w:multiLevelType w:val="multilevel"/>
    <w:tmpl w:val="3AE4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82AFA"/>
    <w:multiLevelType w:val="multilevel"/>
    <w:tmpl w:val="0C9647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083015"/>
    <w:multiLevelType w:val="multilevel"/>
    <w:tmpl w:val="BCA0C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537A5B"/>
    <w:multiLevelType w:val="multilevel"/>
    <w:tmpl w:val="AAD65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F2CB9"/>
    <w:multiLevelType w:val="multilevel"/>
    <w:tmpl w:val="DB1E9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335A6"/>
    <w:multiLevelType w:val="multilevel"/>
    <w:tmpl w:val="E560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D51650"/>
    <w:multiLevelType w:val="multilevel"/>
    <w:tmpl w:val="8562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9B687F"/>
    <w:multiLevelType w:val="multilevel"/>
    <w:tmpl w:val="548E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E3CA9"/>
    <w:multiLevelType w:val="multilevel"/>
    <w:tmpl w:val="BAB422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C40DCF"/>
    <w:multiLevelType w:val="multilevel"/>
    <w:tmpl w:val="D772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1B7928"/>
    <w:multiLevelType w:val="multilevel"/>
    <w:tmpl w:val="A6A8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7F302B"/>
    <w:multiLevelType w:val="multilevel"/>
    <w:tmpl w:val="3EBA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BE12DD"/>
    <w:multiLevelType w:val="multilevel"/>
    <w:tmpl w:val="98FC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076AE9"/>
    <w:multiLevelType w:val="hybridMultilevel"/>
    <w:tmpl w:val="15A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81C19"/>
    <w:multiLevelType w:val="multilevel"/>
    <w:tmpl w:val="2F86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3A3541"/>
    <w:multiLevelType w:val="multilevel"/>
    <w:tmpl w:val="82B8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F766CB"/>
    <w:multiLevelType w:val="multilevel"/>
    <w:tmpl w:val="A714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4E6DE3"/>
    <w:multiLevelType w:val="multilevel"/>
    <w:tmpl w:val="CDD6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C3337D"/>
    <w:multiLevelType w:val="multilevel"/>
    <w:tmpl w:val="10E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E3582C"/>
    <w:multiLevelType w:val="multilevel"/>
    <w:tmpl w:val="98A4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B96B5F"/>
    <w:multiLevelType w:val="multilevel"/>
    <w:tmpl w:val="D1CE70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AB6941"/>
    <w:multiLevelType w:val="multilevel"/>
    <w:tmpl w:val="7AEA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BE0271"/>
    <w:multiLevelType w:val="multilevel"/>
    <w:tmpl w:val="AE90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3"/>
  </w:num>
  <w:num w:numId="3">
    <w:abstractNumId w:val="36"/>
  </w:num>
  <w:num w:numId="4">
    <w:abstractNumId w:val="19"/>
  </w:num>
  <w:num w:numId="5">
    <w:abstractNumId w:val="2"/>
  </w:num>
  <w:num w:numId="6">
    <w:abstractNumId w:val="6"/>
  </w:num>
  <w:num w:numId="7">
    <w:abstractNumId w:val="10"/>
  </w:num>
  <w:num w:numId="8">
    <w:abstractNumId w:val="32"/>
  </w:num>
  <w:num w:numId="9">
    <w:abstractNumId w:val="28"/>
  </w:num>
  <w:num w:numId="10">
    <w:abstractNumId w:val="17"/>
  </w:num>
  <w:num w:numId="11">
    <w:abstractNumId w:val="7"/>
  </w:num>
  <w:num w:numId="12">
    <w:abstractNumId w:val="5"/>
  </w:num>
  <w:num w:numId="13">
    <w:abstractNumId w:val="25"/>
  </w:num>
  <w:num w:numId="14">
    <w:abstractNumId w:val="22"/>
  </w:num>
  <w:num w:numId="15">
    <w:abstractNumId w:val="24"/>
  </w:num>
  <w:num w:numId="16">
    <w:abstractNumId w:val="18"/>
  </w:num>
  <w:num w:numId="17">
    <w:abstractNumId w:val="21"/>
  </w:num>
  <w:num w:numId="18">
    <w:abstractNumId w:val="34"/>
  </w:num>
  <w:num w:numId="19">
    <w:abstractNumId w:val="3"/>
  </w:num>
  <w:num w:numId="20">
    <w:abstractNumId w:val="29"/>
  </w:num>
  <w:num w:numId="21">
    <w:abstractNumId w:val="26"/>
  </w:num>
  <w:num w:numId="22">
    <w:abstractNumId w:val="8"/>
  </w:num>
  <w:num w:numId="23">
    <w:abstractNumId w:val="31"/>
  </w:num>
  <w:num w:numId="24">
    <w:abstractNumId w:val="16"/>
  </w:num>
  <w:num w:numId="25">
    <w:abstractNumId w:val="30"/>
  </w:num>
  <w:num w:numId="26">
    <w:abstractNumId w:val="11"/>
  </w:num>
  <w:num w:numId="27">
    <w:abstractNumId w:val="20"/>
  </w:num>
  <w:num w:numId="28">
    <w:abstractNumId w:val="9"/>
  </w:num>
  <w:num w:numId="29">
    <w:abstractNumId w:val="23"/>
  </w:num>
  <w:num w:numId="30">
    <w:abstractNumId w:val="1"/>
  </w:num>
  <w:num w:numId="31">
    <w:abstractNumId w:val="4"/>
  </w:num>
  <w:num w:numId="32">
    <w:abstractNumId w:val="35"/>
  </w:num>
  <w:num w:numId="33">
    <w:abstractNumId w:val="0"/>
  </w:num>
  <w:num w:numId="34">
    <w:abstractNumId w:val="14"/>
  </w:num>
  <w:num w:numId="35">
    <w:abstractNumId w:val="12"/>
  </w:num>
  <w:num w:numId="36">
    <w:abstractNumId w:val="1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77"/>
    <w:rsid w:val="0036694C"/>
    <w:rsid w:val="00430277"/>
    <w:rsid w:val="004E0A58"/>
    <w:rsid w:val="006B7871"/>
    <w:rsid w:val="00FB3DB2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6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69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6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69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6B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871"/>
  </w:style>
  <w:style w:type="paragraph" w:styleId="a6">
    <w:name w:val="footer"/>
    <w:basedOn w:val="a"/>
    <w:link w:val="a7"/>
    <w:uiPriority w:val="99"/>
    <w:unhideWhenUsed/>
    <w:rsid w:val="006B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6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69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6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69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6B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871"/>
  </w:style>
  <w:style w:type="paragraph" w:styleId="a6">
    <w:name w:val="footer"/>
    <w:basedOn w:val="a"/>
    <w:link w:val="a7"/>
    <w:uiPriority w:val="99"/>
    <w:unhideWhenUsed/>
    <w:rsid w:val="006B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9425-4BF3-4B85-83E2-FDDA411E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2015-10-29T06:14:00Z</dcterms:created>
  <dcterms:modified xsi:type="dcterms:W3CDTF">2015-12-08T14:37:00Z</dcterms:modified>
</cp:coreProperties>
</file>